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Explanation of variances </w:t>
      </w: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 2018 - 19 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Name:</w:t>
        <w:tab/>
        <w:t xml:space="preserve">ASHMANHAUGH PARISH COUNCIL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Please provide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full explanations, including numerical values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, for the following:</w:t>
      </w:r>
    </w:p>
    <w:p>
      <w:pPr>
        <w:numPr>
          <w:ilvl w:val="0"/>
          <w:numId w:val="3"/>
        </w:numPr>
        <w:spacing w:before="0" w:after="0" w:line="240"/>
        <w:ind w:right="0" w:left="360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variances of more than 15% between totals for individual boxes (except variances of less than £200); </w:t>
      </w:r>
    </w:p>
    <w:p>
      <w:pPr>
        <w:numPr>
          <w:ilvl w:val="0"/>
          <w:numId w:val="3"/>
        </w:numPr>
        <w:spacing w:before="0" w:after="0" w:line="240"/>
        <w:ind w:right="0" w:left="360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 breakdown of approved reserves if the total reserves (Box 7) figure is more than twice the annual precept/rates &amp; levies value (Box 2).</w:t>
      </w:r>
    </w:p>
    <w:p>
      <w:pPr>
        <w:spacing w:before="0" w:after="0" w:line="240"/>
        <w:ind w:right="0" w:left="360" w:firstLine="0"/>
        <w:jc w:val="left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tbl>
      <w:tblPr/>
      <w:tblGrid>
        <w:gridCol w:w="1390"/>
        <w:gridCol w:w="1128"/>
        <w:gridCol w:w="1134"/>
        <w:gridCol w:w="1134"/>
        <w:gridCol w:w="1134"/>
        <w:gridCol w:w="3431"/>
      </w:tblGrid>
      <w:tr>
        <w:trPr>
          <w:trHeight w:val="527" w:hRule="auto"/>
          <w:jc w:val="left"/>
        </w:trPr>
        <w:tc>
          <w:tcPr>
            <w:tcW w:w="13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Section 2</w:t>
            </w:r>
          </w:p>
        </w:tc>
        <w:tc>
          <w:tcPr>
            <w:tcW w:w="1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2017/18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£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2018/19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£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Variance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£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Variance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%</w:t>
            </w:r>
          </w:p>
        </w:tc>
        <w:tc>
          <w:tcPr>
            <w:tcW w:w="3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Detailed explanation of variance (with amounts £)</w:t>
            </w:r>
          </w:p>
        </w:tc>
      </w:tr>
      <w:tr>
        <w:trPr>
          <w:trHeight w:val="983" w:hRule="auto"/>
          <w:jc w:val="left"/>
        </w:trPr>
        <w:tc>
          <w:tcPr>
            <w:tcW w:w="13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Box 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Precept or Rates and Levies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3700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3700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0</w:t>
            </w:r>
          </w:p>
        </w:tc>
        <w:tc>
          <w:tcPr>
            <w:tcW w:w="3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983" w:hRule="auto"/>
          <w:jc w:val="left"/>
        </w:trPr>
        <w:tc>
          <w:tcPr>
            <w:tcW w:w="13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Box 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Total other receipts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193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138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-55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28.5</w:t>
            </w:r>
          </w:p>
        </w:tc>
        <w:tc>
          <w:tcPr>
            <w:tcW w:w="3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Less than £200.00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857" w:hRule="auto"/>
          <w:jc w:val="left"/>
        </w:trPr>
        <w:tc>
          <w:tcPr>
            <w:tcW w:w="13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Box 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Staff costs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2230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2487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257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11.52</w:t>
            </w:r>
          </w:p>
        </w:tc>
        <w:tc>
          <w:tcPr>
            <w:tcW w:w="3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161" w:hRule="auto"/>
          <w:jc w:val="left"/>
        </w:trPr>
        <w:tc>
          <w:tcPr>
            <w:tcW w:w="13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Box 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Loan interest/ capital repayments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943" w:hRule="auto"/>
          <w:jc w:val="left"/>
        </w:trPr>
        <w:tc>
          <w:tcPr>
            <w:tcW w:w="13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Box 6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All other payments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858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1057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199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23</w:t>
            </w:r>
          </w:p>
        </w:tc>
        <w:tc>
          <w:tcPr>
            <w:tcW w:w="3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Less than £200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987" w:hRule="auto"/>
          <w:jc w:val="left"/>
        </w:trPr>
        <w:tc>
          <w:tcPr>
            <w:tcW w:w="13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Box 9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Total fixed assets &amp; long term investments &amp; assets</w:t>
            </w:r>
          </w:p>
        </w:tc>
        <w:tc>
          <w:tcPr>
            <w:tcW w:w="1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8650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12425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3775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43.64</w:t>
            </w:r>
          </w:p>
        </w:tc>
        <w:tc>
          <w:tcPr>
            <w:tcW w:w="3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Village sign replacement price increased by £3,000.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Bench replacement price increased by £300.00.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Filing cabinet increased by £175.00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Laptop replacement increased by £300.00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973" w:hRule="auto"/>
          <w:jc w:val="left"/>
        </w:trPr>
        <w:tc>
          <w:tcPr>
            <w:tcW w:w="13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Box 10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Total borrowings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973" w:hRule="auto"/>
          <w:jc w:val="left"/>
        </w:trPr>
        <w:tc>
          <w:tcPr>
            <w:tcW w:w="13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Explanation for ‘high’ reserves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7961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No high reserves held.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